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B6" w:rsidRDefault="009B6FB6" w:rsidP="0096469E">
      <w:pPr>
        <w:shd w:val="clear" w:color="auto" w:fill="FFFFFF"/>
        <w:spacing w:before="150"/>
        <w:ind w:firstLine="709"/>
        <w:jc w:val="center"/>
        <w:rPr>
          <w:rStyle w:val="a5"/>
          <w:rFonts w:ascii="Times New Roman" w:hAnsi="Times New Roman" w:cs="Times New Roman"/>
          <w:color w:val="2C2B2B"/>
          <w:sz w:val="36"/>
          <w:szCs w:val="36"/>
        </w:rPr>
      </w:pPr>
      <w:r w:rsidRPr="0096469E">
        <w:rPr>
          <w:rStyle w:val="a5"/>
          <w:rFonts w:ascii="Times New Roman" w:hAnsi="Times New Roman" w:cs="Times New Roman"/>
          <w:color w:val="2C2B2B"/>
          <w:sz w:val="36"/>
          <w:szCs w:val="36"/>
        </w:rPr>
        <w:t>Информация о проекте</w:t>
      </w:r>
    </w:p>
    <w:p w:rsidR="009B6FB6" w:rsidRPr="009B6FB6" w:rsidRDefault="009B6FB6" w:rsidP="00AD5592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bookmarkStart w:id="0" w:name="_GoBack"/>
      <w:bookmarkEnd w:id="0"/>
      <w:r w:rsidRPr="009B6FB6">
        <w:rPr>
          <w:rFonts w:ascii="Times New Roman" w:hAnsi="Times New Roman" w:cs="Times New Roman"/>
          <w:color w:val="2C2B2B"/>
          <w:sz w:val="24"/>
          <w:szCs w:val="24"/>
        </w:rPr>
        <w:t xml:space="preserve">С 2013 года Карагандинский государственный медицинский университет начал работу в международном </w:t>
      </w:r>
      <w:proofErr w:type="spellStart"/>
      <w:r w:rsidRPr="009B6FB6">
        <w:rPr>
          <w:rFonts w:ascii="Times New Roman" w:hAnsi="Times New Roman" w:cs="Times New Roman"/>
          <w:color w:val="2C2B2B"/>
          <w:sz w:val="24"/>
          <w:szCs w:val="24"/>
        </w:rPr>
        <w:t>грантовом</w:t>
      </w:r>
      <w:proofErr w:type="spellEnd"/>
      <w:r w:rsidRPr="009B6FB6">
        <w:rPr>
          <w:rFonts w:ascii="Times New Roman" w:hAnsi="Times New Roman" w:cs="Times New Roman"/>
          <w:color w:val="2C2B2B"/>
          <w:sz w:val="24"/>
          <w:szCs w:val="24"/>
        </w:rPr>
        <w:t xml:space="preserve"> проекте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</w:rPr>
        <w:t>«Содействие развитию организаций образования через развитие людей»</w:t>
      </w:r>
      <w:r w:rsidRPr="009B6FB6">
        <w:rPr>
          <w:rStyle w:val="apple-converted-space"/>
          <w:rFonts w:ascii="Times New Roman" w:hAnsi="Times New Roman" w:cs="Times New Roman"/>
          <w:b/>
          <w:bCs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Promoting</w:t>
      </w:r>
      <w:r w:rsidRPr="009B6FB6">
        <w:rPr>
          <w:rStyle w:val="apple-converted-space"/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 </w:t>
      </w: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Educational</w:t>
      </w:r>
      <w:r w:rsidRPr="009B6FB6">
        <w:rPr>
          <w:rStyle w:val="apple-converted-space"/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 </w:t>
      </w: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Organization</w:t>
      </w:r>
      <w:r w:rsidRPr="009B6FB6">
        <w:rPr>
          <w:rStyle w:val="apple-converted-space"/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 </w:t>
      </w: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through</w:t>
      </w:r>
      <w:r w:rsidRPr="009B6FB6">
        <w:rPr>
          <w:rStyle w:val="apple-converted-space"/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 </w:t>
      </w: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  <w:lang w:val="en-US"/>
        </w:rPr>
        <w:t>PEOPLE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(рег.№ 543657-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  <w:lang w:val="en-US"/>
        </w:rPr>
        <w:t>TEMPUS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-1-2013-</w:t>
      </w:r>
      <w:r w:rsidRPr="009B6FB6">
        <w:rPr>
          <w:rFonts w:ascii="Times New Roman" w:hAnsi="Times New Roman" w:cs="Times New Roman"/>
          <w:color w:val="2C2B2B"/>
          <w:sz w:val="24"/>
          <w:szCs w:val="24"/>
          <w:lang w:val="en-US"/>
        </w:rPr>
        <w:t>KZ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–</w:t>
      </w:r>
      <w:r w:rsidRPr="009B6FB6">
        <w:rPr>
          <w:rFonts w:ascii="Times New Roman" w:hAnsi="Times New Roman" w:cs="Times New Roman"/>
          <w:color w:val="2C2B2B"/>
          <w:sz w:val="24"/>
          <w:szCs w:val="24"/>
          <w:lang w:val="en-US"/>
        </w:rPr>
        <w:t>TEMPUS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–</w:t>
      </w:r>
      <w:r w:rsidRPr="009B6FB6">
        <w:rPr>
          <w:rFonts w:ascii="Times New Roman" w:hAnsi="Times New Roman" w:cs="Times New Roman"/>
          <w:color w:val="2C2B2B"/>
          <w:sz w:val="24"/>
          <w:szCs w:val="24"/>
          <w:lang w:val="en-US"/>
        </w:rPr>
        <w:t>JPGR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 xml:space="preserve">) в рамках Европейской программы </w:t>
      </w:r>
      <w:proofErr w:type="spellStart"/>
      <w:r w:rsidRPr="009B6FB6">
        <w:rPr>
          <w:rFonts w:ascii="Times New Roman" w:hAnsi="Times New Roman" w:cs="Times New Roman"/>
          <w:color w:val="2C2B2B"/>
          <w:sz w:val="24"/>
          <w:szCs w:val="24"/>
        </w:rPr>
        <w:t>Темпус</w:t>
      </w:r>
      <w:proofErr w:type="spellEnd"/>
      <w:r w:rsidRPr="009B6FB6">
        <w:rPr>
          <w:rFonts w:ascii="Times New Roman" w:hAnsi="Times New Roman" w:cs="Times New Roman"/>
          <w:color w:val="2C2B2B"/>
          <w:sz w:val="24"/>
          <w:szCs w:val="24"/>
        </w:rPr>
        <w:t>.</w:t>
      </w:r>
    </w:p>
    <w:p w:rsidR="00FC19D7" w:rsidRDefault="00FC19D7" w:rsidP="00FC19D7">
      <w:pPr>
        <w:shd w:val="clear" w:color="auto" w:fill="FFFFFF"/>
        <w:spacing w:before="150" w:after="75"/>
        <w:jc w:val="center"/>
        <w:rPr>
          <w:rFonts w:ascii="Times New Roman" w:hAnsi="Times New Roman" w:cs="Times New Roman"/>
          <w:color w:val="2C2B2B"/>
          <w:sz w:val="24"/>
          <w:szCs w:val="24"/>
        </w:rPr>
      </w:pPr>
      <w:r w:rsidRPr="005072C5">
        <w:rPr>
          <w:rFonts w:ascii="Times New Roman" w:hAnsi="Times New Roman"/>
          <w:noProof/>
          <w:color w:val="1772AF"/>
          <w:lang w:eastAsia="ru-RU"/>
        </w:rPr>
        <w:drawing>
          <wp:inline distT="0" distB="0" distL="0" distR="0" wp14:anchorId="64F03FBA" wp14:editId="6FC9B80E">
            <wp:extent cx="4924425" cy="3266535"/>
            <wp:effectExtent l="0" t="0" r="0" b="0"/>
            <wp:docPr id="1" name="Рисунок 1" descr="DSC_Люд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Люд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90" cy="32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B6" w:rsidRPr="009B6FB6" w:rsidRDefault="009B6FB6" w:rsidP="009B6FB6">
      <w:pPr>
        <w:shd w:val="clear" w:color="auto" w:fill="FFFFFF"/>
        <w:spacing w:before="150" w:after="75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Срок реализации: 2013 –2016 гг.</w:t>
      </w:r>
    </w:p>
    <w:p w:rsidR="009B6FB6" w:rsidRPr="009B6FB6" w:rsidRDefault="009B6FB6" w:rsidP="009B6FB6">
      <w:pPr>
        <w:shd w:val="clear" w:color="auto" w:fill="FFFFFF"/>
        <w:spacing w:before="150" w:after="75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Общий бюджет проекта – €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745 275,33</w:t>
      </w:r>
    </w:p>
    <w:p w:rsidR="009B6FB6" w:rsidRPr="009B6FB6" w:rsidRDefault="009B6FB6" w:rsidP="009B6FB6">
      <w:pPr>
        <w:shd w:val="clear" w:color="auto" w:fill="FFFFFF"/>
        <w:spacing w:before="150" w:after="75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Статус КГМУ – партнер проекта</w:t>
      </w:r>
    </w:p>
    <w:p w:rsidR="009B6FB6" w:rsidRPr="009B6FB6" w:rsidRDefault="009B6FB6" w:rsidP="00AD5592">
      <w:pPr>
        <w:shd w:val="clear" w:color="auto" w:fill="FFFFFF"/>
        <w:spacing w:before="150" w:after="75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</w:rPr>
        <w:t>Партнеры проекта:</w:t>
      </w:r>
    </w:p>
    <w:p w:rsidR="009B6FB6" w:rsidRPr="009B6FB6" w:rsidRDefault="009B6FB6" w:rsidP="009B6FB6">
      <w:pPr>
        <w:pStyle w:val="a7"/>
        <w:shd w:val="clear" w:color="auto" w:fill="FFFFFF"/>
        <w:spacing w:before="0" w:beforeAutospacing="0" w:after="0" w:afterAutospacing="0"/>
        <w:ind w:left="993" w:hanging="284"/>
        <w:jc w:val="both"/>
        <w:rPr>
          <w:color w:val="2C2B2B"/>
        </w:rPr>
      </w:pPr>
      <w:r w:rsidRPr="009B6FB6">
        <w:rPr>
          <w:color w:val="2C2B2B"/>
        </w:rPr>
        <w:t>1.   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Политехнический университет Каталонии, г. Барселона, Испания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2.   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Высший Технический Институт, г. Лиссабон, Португалия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3.   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Королевский Технологический Институт, г. Стокгольм, Швеция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4.   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Государственный Университет Илия, Грузия</w:t>
      </w:r>
    </w:p>
    <w:p w:rsidR="009B6FB6" w:rsidRPr="009B6FB6" w:rsidRDefault="009B6FB6" w:rsidP="009B6FB6">
      <w:pPr>
        <w:pStyle w:val="a7"/>
        <w:shd w:val="clear" w:color="auto" w:fill="FFFFFF"/>
        <w:spacing w:before="0" w:beforeAutospacing="0" w:after="0" w:afterAutospacing="0"/>
        <w:ind w:left="993" w:hanging="284"/>
        <w:jc w:val="both"/>
        <w:rPr>
          <w:color w:val="2C2B2B"/>
        </w:rPr>
      </w:pPr>
      <w:r w:rsidRPr="009B6FB6">
        <w:rPr>
          <w:color w:val="2C2B2B"/>
        </w:rPr>
        <w:t>5.   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Кутаисский Университет, Грузия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6.   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Армянский Государственный Университет Экономики, Армения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7.   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Российско-Армянский (Славянский) Университет, Армения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8.   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Американский Университет Армянского Фонда, Армения</w:t>
      </w:r>
    </w:p>
    <w:p w:rsidR="009B6FB6" w:rsidRPr="009B6FB6" w:rsidRDefault="009B6FB6" w:rsidP="009B6FB6">
      <w:pPr>
        <w:shd w:val="clear" w:color="auto" w:fill="FFFFFF"/>
        <w:ind w:left="993" w:hanging="284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9.   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 xml:space="preserve">Казахский экономический университет им. </w:t>
      </w:r>
      <w:proofErr w:type="spellStart"/>
      <w:r w:rsidRPr="009B6FB6">
        <w:rPr>
          <w:rFonts w:ascii="Times New Roman" w:hAnsi="Times New Roman" w:cs="Times New Roman"/>
          <w:color w:val="2C2B2B"/>
          <w:sz w:val="24"/>
          <w:szCs w:val="24"/>
        </w:rPr>
        <w:t>Т.Рыскулова</w:t>
      </w:r>
      <w:proofErr w:type="spellEnd"/>
      <w:r w:rsidRPr="009B6FB6">
        <w:rPr>
          <w:rFonts w:ascii="Times New Roman" w:hAnsi="Times New Roman" w:cs="Times New Roman"/>
          <w:color w:val="2C2B2B"/>
          <w:sz w:val="24"/>
          <w:szCs w:val="24"/>
        </w:rPr>
        <w:t>, Казахстан -координатор</w:t>
      </w:r>
    </w:p>
    <w:p w:rsidR="009B6FB6" w:rsidRPr="009B6FB6" w:rsidRDefault="009B6FB6" w:rsidP="009B6FB6">
      <w:pPr>
        <w:shd w:val="clear" w:color="auto" w:fill="FFFFFF"/>
        <w:ind w:left="709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10.Казахская академия транспорта и коммуникаций, Казахстан</w:t>
      </w:r>
    </w:p>
    <w:p w:rsidR="009B6FB6" w:rsidRPr="009B6FB6" w:rsidRDefault="009B6FB6" w:rsidP="00AD5592">
      <w:pPr>
        <w:shd w:val="clear" w:color="auto" w:fill="FFFFFF"/>
        <w:spacing w:before="150"/>
        <w:ind w:firstLine="709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 xml:space="preserve">11.Павлодарский Государственный Университет им. </w:t>
      </w:r>
      <w:proofErr w:type="spellStart"/>
      <w:r w:rsidRPr="009B6FB6">
        <w:rPr>
          <w:rFonts w:ascii="Times New Roman" w:hAnsi="Times New Roman" w:cs="Times New Roman"/>
          <w:color w:val="2C2B2B"/>
          <w:sz w:val="24"/>
          <w:szCs w:val="24"/>
        </w:rPr>
        <w:t>Торайгырова</w:t>
      </w:r>
      <w:proofErr w:type="spellEnd"/>
      <w:r w:rsidRPr="009B6FB6">
        <w:rPr>
          <w:rFonts w:ascii="Times New Roman" w:hAnsi="Times New Roman" w:cs="Times New Roman"/>
          <w:color w:val="2C2B2B"/>
          <w:sz w:val="24"/>
          <w:szCs w:val="24"/>
        </w:rPr>
        <w:t>, Казахстан </w:t>
      </w:r>
    </w:p>
    <w:p w:rsidR="009B6FB6" w:rsidRPr="009B6FB6" w:rsidRDefault="009B6FB6" w:rsidP="009B6FB6">
      <w:pPr>
        <w:shd w:val="clear" w:color="auto" w:fill="FFFFFF"/>
        <w:ind w:left="1429" w:hanging="1429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</w:rPr>
        <w:lastRenderedPageBreak/>
        <w:t>Основная цель проекта:</w:t>
      </w:r>
    </w:p>
    <w:p w:rsidR="009B6FB6" w:rsidRPr="009B6FB6" w:rsidRDefault="009B6FB6" w:rsidP="00AD5592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Усиление компетенций менеджеров высших учебных заведений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 высшего и среднего уровня на основе разработки стратегии управления человеческими ресурсами 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>и развития персонала, направленной на решение проблем (вызовов), с которыми сталкиваются вузы в странах-партнерах в условиях процесса экономического перехода и глобализации.</w:t>
      </w:r>
    </w:p>
    <w:p w:rsidR="009B6FB6" w:rsidRPr="009B6FB6" w:rsidRDefault="009B6FB6" w:rsidP="009B6FB6">
      <w:pPr>
        <w:shd w:val="clear" w:color="auto" w:fill="FFFFFF"/>
        <w:ind w:left="1429" w:hanging="1429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</w:rPr>
        <w:t>Основные задачи проекта:</w:t>
      </w:r>
    </w:p>
    <w:p w:rsidR="009B6FB6" w:rsidRPr="009B6FB6" w:rsidRDefault="009B6FB6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gramStart"/>
      <w:r w:rsidRPr="009B6FB6">
        <w:rPr>
          <w:color w:val="2C2B2B"/>
        </w:rPr>
        <w:t>·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Проведение</w:t>
      </w:r>
      <w:proofErr w:type="gramEnd"/>
      <w:r w:rsidRPr="009B6FB6">
        <w:rPr>
          <w:color w:val="2C2B2B"/>
        </w:rPr>
        <w:t xml:space="preserve"> аудита процессов и процедур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  <w:lang w:val="en-US"/>
        </w:rPr>
        <w:t>HR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для выявления сильных и слабых сторон, возможностей и угроз, имеющихся в этой области.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gramStart"/>
      <w:r>
        <w:rPr>
          <w:color w:val="2C2B2B"/>
        </w:rPr>
        <w:t>·  </w:t>
      </w:r>
      <w:r w:rsidR="009B6FB6" w:rsidRPr="009B6FB6">
        <w:rPr>
          <w:color w:val="2C2B2B"/>
        </w:rPr>
        <w:t>Выявление</w:t>
      </w:r>
      <w:proofErr w:type="gramEnd"/>
      <w:r w:rsidR="009B6FB6" w:rsidRPr="009B6FB6">
        <w:rPr>
          <w:color w:val="2C2B2B"/>
        </w:rPr>
        <w:t xml:space="preserve"> потребностей в обучении на основе карты компетенций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</w:rPr>
        <w:t>в вузах.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>
        <w:rPr>
          <w:color w:val="2C2B2B"/>
        </w:rPr>
        <w:t>·   </w:t>
      </w:r>
      <w:r w:rsidR="009B6FB6" w:rsidRPr="009B6FB6">
        <w:rPr>
          <w:color w:val="2C2B2B"/>
        </w:rPr>
        <w:t>Организация обучающих мероприятий для тренеров (экспертов в области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</w:rPr>
        <w:t>в странах-партнерах), которые затем будут обучать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</w:rPr>
        <w:t>специалистов (ППС и сотрудников) в каждом университете-партнере.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>
        <w:rPr>
          <w:color w:val="2C2B2B"/>
        </w:rPr>
        <w:t>·   </w:t>
      </w:r>
      <w:r w:rsidR="009B6FB6" w:rsidRPr="009B6FB6">
        <w:rPr>
          <w:color w:val="2C2B2B"/>
        </w:rPr>
        <w:t>Проведение обучающих семинаров по наиболее актуальным проблемам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</w:rPr>
        <w:t>(выявленным ранее) для совершенствования компетенций руководителей высшего и среднего уровня (как ППС, так и административного и технического персонала).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>
        <w:rPr>
          <w:color w:val="2C2B2B"/>
        </w:rPr>
        <w:t>·    </w:t>
      </w:r>
      <w:r w:rsidR="009B6FB6" w:rsidRPr="009B6FB6">
        <w:rPr>
          <w:color w:val="2C2B2B"/>
        </w:rPr>
        <w:t>Разработка стратегического плана развития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</w:rPr>
        <w:t>в каждом университете-партнере с учетом специфических потребностей, выявленных на основе анализа результатов аудита.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>
        <w:rPr>
          <w:color w:val="2C2B2B"/>
        </w:rPr>
        <w:t>·     </w:t>
      </w:r>
      <w:r w:rsidR="009B6FB6" w:rsidRPr="009B6FB6">
        <w:rPr>
          <w:color w:val="2C2B2B"/>
        </w:rPr>
        <w:t>Внедрение стратегического плана в течение второго и третьего годов реализации проекта для выявления отклонений и улучшения результатов.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>
        <w:rPr>
          <w:color w:val="2C2B2B"/>
        </w:rPr>
        <w:t>·     </w:t>
      </w:r>
      <w:r w:rsidR="009B6FB6" w:rsidRPr="009B6FB6">
        <w:rPr>
          <w:color w:val="2C2B2B"/>
        </w:rPr>
        <w:t>Создание отдельных ресурсных центров в каждом университете-партнере с материалами, а также онлайн платформу, для коллективного использования информации по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color w:val="2C2B2B"/>
        </w:rPr>
        <w:t>.</w:t>
      </w:r>
    </w:p>
    <w:p w:rsidR="009B6FB6" w:rsidRPr="009B6FB6" w:rsidRDefault="00FC19D7" w:rsidP="00AD5592">
      <w:pPr>
        <w:pStyle w:val="a7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>
        <w:rPr>
          <w:color w:val="2C2B2B"/>
        </w:rPr>
        <w:t>·     </w:t>
      </w:r>
      <w:r w:rsidR="009B6FB6" w:rsidRPr="009B6FB6">
        <w:rPr>
          <w:color w:val="2C2B2B"/>
        </w:rPr>
        <w:t>Разработать и опубликовать справочник с материалами по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color w:val="2C2B2B"/>
        </w:rPr>
        <w:t>, результатами обучающих мероприятий и стандартизированных процессов</w:t>
      </w:r>
      <w:r w:rsidR="009B6FB6" w:rsidRPr="009B6FB6">
        <w:rPr>
          <w:rStyle w:val="apple-converted-space"/>
          <w:color w:val="2C2B2B"/>
        </w:rPr>
        <w:t> </w:t>
      </w:r>
      <w:r w:rsidR="009B6FB6" w:rsidRPr="009B6FB6">
        <w:rPr>
          <w:color w:val="2C2B2B"/>
          <w:lang w:val="en-US"/>
        </w:rPr>
        <w:t>HR</w:t>
      </w:r>
      <w:r w:rsidR="009B6FB6" w:rsidRPr="009B6FB6">
        <w:rPr>
          <w:color w:val="2C2B2B"/>
        </w:rPr>
        <w:t>.</w:t>
      </w:r>
    </w:p>
    <w:p w:rsidR="009B6FB6" w:rsidRPr="009B6FB6" w:rsidRDefault="009B6FB6" w:rsidP="009B6FB6">
      <w:pPr>
        <w:shd w:val="clear" w:color="auto" w:fill="FFFFFF"/>
        <w:ind w:left="1429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color w:val="2C2B2B"/>
          <w:sz w:val="24"/>
          <w:szCs w:val="24"/>
        </w:rPr>
        <w:t> </w:t>
      </w:r>
    </w:p>
    <w:p w:rsidR="009B6FB6" w:rsidRPr="009B6FB6" w:rsidRDefault="009B6FB6" w:rsidP="009B6FB6">
      <w:pPr>
        <w:shd w:val="clear" w:color="auto" w:fill="FFFFFF"/>
        <w:ind w:left="1429" w:hanging="1429"/>
        <w:rPr>
          <w:rFonts w:ascii="Times New Roman" w:hAnsi="Times New Roman" w:cs="Times New Roman"/>
          <w:color w:val="2C2B2B"/>
          <w:sz w:val="24"/>
          <w:szCs w:val="24"/>
        </w:rPr>
      </w:pP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</w:rPr>
        <w:t>Проект включает следующий комплекс мероприятий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1.     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Аудит процессов Человеческих Ресурсов (</w:t>
      </w:r>
      <w:r w:rsidRPr="009B6FB6">
        <w:rPr>
          <w:color w:val="2C2B2B"/>
          <w:lang w:val="kk-KZ"/>
        </w:rPr>
        <w:t>ЧР</w:t>
      </w:r>
      <w:r w:rsidRPr="009B6FB6">
        <w:rPr>
          <w:color w:val="2C2B2B"/>
        </w:rPr>
        <w:t>) и карта компетенций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2.     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Тренинг для менеджеров и сотрудников ЧР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3.     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Стратегический план для развития ЧР в каждом университете-партнере.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4.     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Центр ЧР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5.     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Стратегия распространения проекта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  <w:lang w:val="en-US"/>
        </w:rPr>
        <w:t>PEOPLE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6.     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Менеджмент проекта</w:t>
      </w:r>
    </w:p>
    <w:p w:rsidR="009B6FB6" w:rsidRPr="009B6FB6" w:rsidRDefault="009B6FB6" w:rsidP="00FC19D7">
      <w:pPr>
        <w:pStyle w:val="a7"/>
        <w:shd w:val="clear" w:color="auto" w:fill="FFFFFF"/>
        <w:spacing w:before="0" w:beforeAutospacing="0" w:after="0" w:afterAutospacing="0"/>
        <w:ind w:left="284" w:hanging="218"/>
        <w:rPr>
          <w:color w:val="2C2B2B"/>
        </w:rPr>
      </w:pPr>
      <w:r w:rsidRPr="009B6FB6">
        <w:rPr>
          <w:color w:val="2C2B2B"/>
        </w:rPr>
        <w:t>7.     </w:t>
      </w:r>
      <w:r w:rsidRPr="009B6FB6">
        <w:rPr>
          <w:rStyle w:val="apple-converted-space"/>
          <w:color w:val="2C2B2B"/>
        </w:rPr>
        <w:t> </w:t>
      </w:r>
      <w:r w:rsidRPr="009B6FB6">
        <w:rPr>
          <w:color w:val="2C2B2B"/>
        </w:rPr>
        <w:t>План качества проекта </w:t>
      </w:r>
    </w:p>
    <w:p w:rsidR="009B6FB6" w:rsidRPr="0096469E" w:rsidRDefault="009B6FB6" w:rsidP="009B6FB6">
      <w:pPr>
        <w:shd w:val="clear" w:color="auto" w:fill="FFFFFF"/>
        <w:spacing w:before="150"/>
        <w:jc w:val="both"/>
        <w:rPr>
          <w:rFonts w:ascii="Arial" w:hAnsi="Arial" w:cs="Arial"/>
          <w:color w:val="2C2B2B"/>
          <w:sz w:val="18"/>
          <w:szCs w:val="18"/>
        </w:rPr>
      </w:pPr>
      <w:r w:rsidRPr="009B6FB6">
        <w:rPr>
          <w:rFonts w:ascii="Times New Roman" w:hAnsi="Times New Roman" w:cs="Times New Roman"/>
          <w:b/>
          <w:bCs/>
          <w:color w:val="2C2B2B"/>
          <w:sz w:val="24"/>
          <w:szCs w:val="24"/>
        </w:rPr>
        <w:t>Координатор проекта</w:t>
      </w:r>
      <w:r w:rsidRPr="009B6FB6">
        <w:rPr>
          <w:rStyle w:val="apple-converted-space"/>
          <w:rFonts w:ascii="Times New Roman" w:hAnsi="Times New Roman" w:cs="Times New Roman"/>
          <w:color w:val="2C2B2B"/>
          <w:sz w:val="24"/>
          <w:szCs w:val="24"/>
        </w:rPr>
        <w:t> </w:t>
      </w:r>
      <w:r w:rsidRPr="009B6FB6">
        <w:rPr>
          <w:rFonts w:ascii="Times New Roman" w:hAnsi="Times New Roman" w:cs="Times New Roman"/>
          <w:color w:val="2C2B2B"/>
          <w:sz w:val="24"/>
          <w:szCs w:val="24"/>
        </w:rPr>
        <w:t xml:space="preserve">(ответственный за реализацию проекта в КГМУ) – Доскожин Д.М., директор центра управления </w:t>
      </w:r>
    </w:p>
    <w:p w:rsidR="0010312B" w:rsidRPr="0096469E" w:rsidRDefault="0010312B" w:rsidP="009B6FB6"/>
    <w:sectPr w:rsidR="0010312B" w:rsidRPr="0096469E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B039A"/>
    <w:multiLevelType w:val="multilevel"/>
    <w:tmpl w:val="D4F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922D6"/>
    <w:multiLevelType w:val="multilevel"/>
    <w:tmpl w:val="3F9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B17B6"/>
    <w:multiLevelType w:val="multilevel"/>
    <w:tmpl w:val="BAD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0312B"/>
    <w:rsid w:val="00183010"/>
    <w:rsid w:val="001D61E9"/>
    <w:rsid w:val="005B40A1"/>
    <w:rsid w:val="006B2041"/>
    <w:rsid w:val="009254E2"/>
    <w:rsid w:val="0096469E"/>
    <w:rsid w:val="009B6FB6"/>
    <w:rsid w:val="009B7403"/>
    <w:rsid w:val="00AD5592"/>
    <w:rsid w:val="00B8139E"/>
    <w:rsid w:val="00D12FAD"/>
    <w:rsid w:val="00E52267"/>
    <w:rsid w:val="00E56951"/>
    <w:rsid w:val="00FC19D7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F506-7449-4554-95ED-01B9B3B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0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12B"/>
  </w:style>
  <w:style w:type="paragraph" w:customStyle="1" w:styleId="post-author">
    <w:name w:val="post-author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0312B"/>
  </w:style>
  <w:style w:type="paragraph" w:styleId="a7">
    <w:name w:val="List Paragraph"/>
    <w:basedOn w:val="a"/>
    <w:uiPriority w:val="34"/>
    <w:qFormat/>
    <w:rsid w:val="009B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rasmus.kgmu.kz/wp-content/uploads/DSC_Lyud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28</cp:revision>
  <cp:lastPrinted>2017-04-21T06:44:00Z</cp:lastPrinted>
  <dcterms:created xsi:type="dcterms:W3CDTF">2017-04-17T11:10:00Z</dcterms:created>
  <dcterms:modified xsi:type="dcterms:W3CDTF">2017-04-24T06:22:00Z</dcterms:modified>
</cp:coreProperties>
</file>