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ТЕМПУС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жобасы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бойынша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іссапар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есебі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(семинар-тренинг) </w:t>
      </w:r>
    </w:p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b/>
          <w:bCs/>
          <w:color w:val="2C2B2A"/>
          <w:sz w:val="20"/>
          <w:szCs w:val="20"/>
        </w:rPr>
        <w:t>7-10</w:t>
      </w:r>
      <w:r>
        <w:rPr>
          <w:rStyle w:val="apple-converted-space"/>
          <w:rFonts w:ascii="Arial" w:hAnsi="Arial" w:cs="Arial"/>
          <w:b/>
          <w:bCs/>
          <w:color w:val="2C2B2A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маусым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> 2016ж. (Швеция, Стокгольм қ.)</w:t>
      </w:r>
    </w:p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2016 ж.7-10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маусымы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аралығында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Стокгольм қ.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Патшалық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техникалық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(КТН)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базасында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Жоғары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бі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л</w:t>
      </w:r>
      <w:proofErr w:type="gramEnd"/>
      <w:r>
        <w:rPr>
          <w:rFonts w:ascii="Arial" w:hAnsi="Arial" w:cs="Arial"/>
          <w:color w:val="2C2B2A"/>
          <w:sz w:val="20"/>
          <w:szCs w:val="20"/>
        </w:rPr>
        <w:t>ім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беруде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Адами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ресурстарды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басқару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атты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тренинг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өтті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proofErr w:type="spellStart"/>
      <w:r>
        <w:rPr>
          <w:rFonts w:ascii="Arial" w:hAnsi="Arial" w:cs="Arial"/>
          <w:color w:val="2C2B2A"/>
          <w:sz w:val="20"/>
          <w:szCs w:val="20"/>
        </w:rPr>
        <w:t>Іс-шараға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қатысушылардын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ішінде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біздің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университеттің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қызметкерлері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болды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: Адами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ресурстарды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басқару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департаментінің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директоры - ТЕМПУС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жобасының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үйлестірушісі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Д.М.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Доскожин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адами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ресурстарды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басқару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департаментінің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маманы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жоба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менеджері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- Н. Ю. Бек.</w:t>
      </w:r>
    </w:p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2C2B2A"/>
          <w:sz w:val="20"/>
          <w:szCs w:val="20"/>
        </w:rPr>
        <w:drawing>
          <wp:inline distT="0" distB="0" distL="0" distR="0">
            <wp:extent cx="5524500" cy="4143375"/>
            <wp:effectExtent l="0" t="0" r="0" b="9525"/>
            <wp:docPr id="2" name="Рисунок 2" descr="47ec0292ea07ee01eba70180c19f32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ec0292ea07ee01eba70180c19f32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proofErr w:type="spellStart"/>
      <w:r>
        <w:rPr>
          <w:rFonts w:ascii="Arial" w:hAnsi="Arial" w:cs="Arial"/>
          <w:color w:val="2C2B2A"/>
          <w:sz w:val="20"/>
          <w:szCs w:val="20"/>
        </w:rPr>
        <w:t>Сондай-ақ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2C2B2A"/>
          <w:sz w:val="20"/>
          <w:szCs w:val="20"/>
        </w:rPr>
        <w:t>конференция</w:t>
      </w:r>
      <w:proofErr w:type="gramEnd"/>
      <w:r>
        <w:rPr>
          <w:rFonts w:ascii="Arial" w:hAnsi="Arial" w:cs="Arial"/>
          <w:color w:val="2C2B2A"/>
          <w:sz w:val="20"/>
          <w:szCs w:val="20"/>
        </w:rPr>
        <w:t>ға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серіктестер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қатысты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>:</w:t>
      </w:r>
    </w:p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Каталония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Политехникалық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і,</w:t>
      </w:r>
      <w:proofErr w:type="gramEnd"/>
      <w:r>
        <w:rPr>
          <w:rFonts w:ascii="Arial" w:hAnsi="Arial" w:cs="Arial"/>
          <w:color w:val="2C2B2A"/>
          <w:sz w:val="20"/>
          <w:szCs w:val="20"/>
        </w:rPr>
        <w:t>Барселона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қ, Испания.</w:t>
      </w:r>
    </w:p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Жоғарғы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Техникалық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Институт, Лиссабон қ, Португалия.</w:t>
      </w:r>
    </w:p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Патшалық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Технологиялық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Институт, Стокгольм қ, Швеция.</w:t>
      </w:r>
    </w:p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Илия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Мемлекетті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к</w:t>
      </w:r>
      <w:proofErr w:type="spellEnd"/>
      <w:proofErr w:type="gram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 Грузия.</w:t>
      </w:r>
    </w:p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Кутаисск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 Грузия.</w:t>
      </w:r>
    </w:p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Армян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Мемлекетті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к</w:t>
      </w:r>
      <w:proofErr w:type="spellEnd"/>
      <w:proofErr w:type="gramEnd"/>
      <w:r>
        <w:rPr>
          <w:rFonts w:ascii="Arial" w:hAnsi="Arial" w:cs="Arial"/>
          <w:color w:val="2C2B2A"/>
          <w:sz w:val="20"/>
          <w:szCs w:val="20"/>
        </w:rPr>
        <w:t xml:space="preserve"> Экономика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 Армения.</w:t>
      </w:r>
    </w:p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Ресей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-Армян (Славян)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 Армения.</w:t>
      </w:r>
    </w:p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Армян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қорының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Американдық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 Армения.</w:t>
      </w:r>
    </w:p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Т.Рысқұлов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атындағы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Қазақ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экономикалық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Қазақстан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үйлестіруші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lastRenderedPageBreak/>
        <w:t xml:space="preserve">· 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Қаза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</w:t>
      </w:r>
      <w:proofErr w:type="gramEnd"/>
      <w:r>
        <w:rPr>
          <w:rFonts w:ascii="Arial" w:hAnsi="Arial" w:cs="Arial"/>
          <w:color w:val="2C2B2A"/>
          <w:sz w:val="20"/>
          <w:szCs w:val="20"/>
        </w:rPr>
        <w:t>өлік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коммуникация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академиясы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Қазақстан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Торайғыров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атындағы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Павлодар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мемлекетті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к</w:t>
      </w:r>
      <w:proofErr w:type="spellEnd"/>
      <w:proofErr w:type="gram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Қазақстан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Семинар-тренинг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барысында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КТН-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түрлі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деңгейдегіHR-менеджерлері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КТН-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дағы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адами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ресурстарды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басқару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саласындағы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тәжірибесімен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бө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л</w:t>
      </w:r>
      <w:proofErr w:type="gramEnd"/>
      <w:r>
        <w:rPr>
          <w:rFonts w:ascii="Arial" w:hAnsi="Arial" w:cs="Arial"/>
          <w:color w:val="2C2B2A"/>
          <w:sz w:val="20"/>
          <w:szCs w:val="20"/>
        </w:rPr>
        <w:t>істі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noProof/>
          <w:color w:val="2C2B2A"/>
          <w:sz w:val="20"/>
          <w:szCs w:val="20"/>
        </w:rPr>
        <w:drawing>
          <wp:inline distT="0" distB="0" distL="0" distR="0">
            <wp:extent cx="5676900" cy="3196095"/>
            <wp:effectExtent l="0" t="0" r="0" b="4445"/>
            <wp:docPr id="1" name="Рисунок 1" descr="0f8cb14814688080db7dcb782fa52f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f8cb14814688080db7dcb782fa52fb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9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AnnicaFroberg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>–</w:t>
      </w:r>
      <w:r>
        <w:rPr>
          <w:rStyle w:val="apple-converted-space"/>
          <w:rFonts w:ascii="Arial" w:hAnsi="Arial" w:cs="Arial"/>
          <w:b/>
          <w:bCs/>
          <w:color w:val="2C2B2A"/>
          <w:sz w:val="20"/>
          <w:szCs w:val="20"/>
        </w:rPr>
        <w:t> 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Қызметкерлермен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жұмыс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жасау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бойынша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директоржәне</w:t>
      </w:r>
      <w:proofErr w:type="spellEnd"/>
      <w:r>
        <w:rPr>
          <w:rStyle w:val="apple-converted-space"/>
          <w:rFonts w:ascii="Arial" w:hAnsi="Arial" w:cs="Arial"/>
          <w:color w:val="2C2B2A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LottaGustavsson</w:t>
      </w:r>
      <w:proofErr w:type="spellEnd"/>
      <w:r>
        <w:rPr>
          <w:rStyle w:val="apple-converted-space"/>
          <w:rFonts w:ascii="Arial" w:hAnsi="Arial" w:cs="Arial"/>
          <w:b/>
          <w:bCs/>
          <w:color w:val="2C2B2A"/>
          <w:sz w:val="20"/>
          <w:szCs w:val="20"/>
        </w:rPr>
        <w:t> </w:t>
      </w:r>
      <w:r>
        <w:rPr>
          <w:rFonts w:ascii="Arial" w:hAnsi="Arial" w:cs="Arial"/>
          <w:b/>
          <w:bCs/>
          <w:color w:val="2C2B2A"/>
          <w:sz w:val="20"/>
          <w:szCs w:val="20"/>
        </w:rPr>
        <w:t>-</w:t>
      </w:r>
      <w:r>
        <w:rPr>
          <w:rStyle w:val="apple-converted-space"/>
          <w:rFonts w:ascii="Arial" w:hAnsi="Arial" w:cs="Arial"/>
          <w:b/>
          <w:bCs/>
          <w:color w:val="2C2B2A"/>
          <w:sz w:val="20"/>
          <w:szCs w:val="20"/>
        </w:rPr>
        <w:t> 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қызметкерлерді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басқару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қызметінің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бастығы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қатысушыларды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Швецияда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КТН-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дегі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адами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ресурстармен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жұмыс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принципімен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таныстырды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Сондай-ақ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C2B2A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Lotta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Gustavsson</w:t>
      </w:r>
      <w:proofErr w:type="spellEnd"/>
      <w:r>
        <w:rPr>
          <w:rStyle w:val="apple-converted-space"/>
          <w:rFonts w:ascii="Arial" w:hAnsi="Arial" w:cs="Arial"/>
          <w:color w:val="2C2B2A"/>
          <w:sz w:val="20"/>
          <w:szCs w:val="20"/>
        </w:rPr>
        <w:t> 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Style w:val="apple-converted-space"/>
          <w:rFonts w:ascii="Arial" w:hAnsi="Arial" w:cs="Arial"/>
          <w:color w:val="2C2B2A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Viktor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Kordas</w:t>
      </w:r>
      <w:r>
        <w:rPr>
          <w:rFonts w:ascii="Arial" w:hAnsi="Arial" w:cs="Arial"/>
          <w:color w:val="2C2B2A"/>
          <w:sz w:val="20"/>
          <w:szCs w:val="20"/>
        </w:rPr>
        <w:t>КТН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-де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қызметкерлермен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жұмыс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барысындағыжеке</w:t>
      </w:r>
      <w:proofErr w:type="spellEnd"/>
      <w:r>
        <w:rPr>
          <w:rStyle w:val="apple-converted-space"/>
          <w:rFonts w:ascii="Arial" w:hAnsi="Arial" w:cs="Arial"/>
          <w:color w:val="2C2B2A"/>
          <w:sz w:val="20"/>
          <w:szCs w:val="20"/>
        </w:rPr>
        <w:t> </w:t>
      </w:r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саясаттыынтымақтастықты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,К</w:t>
      </w:r>
      <w:proofErr w:type="gramEnd"/>
      <w:r>
        <w:rPr>
          <w:rFonts w:ascii="Arial" w:hAnsi="Arial" w:cs="Arial"/>
          <w:color w:val="2C2B2A"/>
          <w:sz w:val="20"/>
          <w:szCs w:val="20"/>
        </w:rPr>
        <w:t>ТН-дыдамыту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құралы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ретінде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әңгімелеп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берді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Шақырылған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спикер</w:t>
      </w:r>
      <w:r>
        <w:rPr>
          <w:rStyle w:val="apple-converted-space"/>
          <w:rFonts w:ascii="Arial" w:hAnsi="Arial" w:cs="Arial"/>
          <w:color w:val="2C2B2A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IsabelGoncalves</w:t>
      </w:r>
      <w:proofErr w:type="spellEnd"/>
      <w:r>
        <w:rPr>
          <w:rStyle w:val="apple-converted-space"/>
          <w:rFonts w:ascii="Arial" w:hAnsi="Arial" w:cs="Arial"/>
          <w:color w:val="2C2B2A"/>
          <w:sz w:val="20"/>
          <w:szCs w:val="20"/>
        </w:rPr>
        <w:t> </w:t>
      </w:r>
      <w:r>
        <w:rPr>
          <w:rFonts w:ascii="Arial" w:hAnsi="Arial" w:cs="Arial"/>
          <w:color w:val="2C2B2A"/>
          <w:sz w:val="20"/>
          <w:szCs w:val="20"/>
        </w:rPr>
        <w:t xml:space="preserve">– Лиссабон қ.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Техникалық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(IST)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репетиторлық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кеңсе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үйлестірушісі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(IST)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Коучинг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бойынша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тренинг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өткізді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Семинар-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тренингтің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барлық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күндерінде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түстен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кейін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C2B2A"/>
          <w:sz w:val="20"/>
          <w:szCs w:val="20"/>
        </w:rPr>
        <w:t> </w:t>
      </w:r>
      <w:r>
        <w:rPr>
          <w:rFonts w:ascii="Arial" w:hAnsi="Arial" w:cs="Arial"/>
          <w:b/>
          <w:bCs/>
          <w:color w:val="2C2B2A"/>
          <w:sz w:val="20"/>
          <w:szCs w:val="20"/>
        </w:rPr>
        <w:t>PEOPLE</w:t>
      </w:r>
      <w:r>
        <w:rPr>
          <w:rStyle w:val="apple-converted-space"/>
          <w:rFonts w:ascii="Arial" w:hAnsi="Arial" w:cs="Arial"/>
          <w:color w:val="2C2B2A"/>
          <w:sz w:val="20"/>
          <w:szCs w:val="20"/>
        </w:rPr>
        <w:t> 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жобасын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жүзеге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асыру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шеңберінде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әзірленген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консорциум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мүшелері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-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</w:t>
      </w:r>
      <w:proofErr w:type="gramEnd"/>
      <w:r>
        <w:rPr>
          <w:rFonts w:ascii="Arial" w:hAnsi="Arial" w:cs="Arial"/>
          <w:color w:val="2C2B2A"/>
          <w:sz w:val="20"/>
          <w:szCs w:val="20"/>
        </w:rPr>
        <w:t>арлық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жоғары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оқу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орындарының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стратегиялық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жоспарларын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талқылау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түзетулер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өткізіліп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отырды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. Университет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өкілінің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жеке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мәлімдемесі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барысында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жоспардың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әлсіз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жақтары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анықталды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кейін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жоба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үйлестірушісі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Алисия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Берланга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әрбі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университеттің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стратегиялық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жоспарын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одан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әрі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дамыту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үшін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түзетулер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мен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ұсыныстар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жасады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C2B2A"/>
          <w:sz w:val="20"/>
          <w:szCs w:val="20"/>
        </w:rPr>
        <w:t>Шара</w:t>
      </w:r>
      <w:proofErr w:type="gramEnd"/>
      <w:r>
        <w:rPr>
          <w:rFonts w:ascii="Arial" w:hAnsi="Arial" w:cs="Arial"/>
          <w:color w:val="2C2B2A"/>
          <w:sz w:val="20"/>
          <w:szCs w:val="20"/>
        </w:rPr>
        <w:t>ға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қатысушылардың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жұмыс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тобы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үшін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семинар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ұйымдастырушылары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КТН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әкімшілік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ғимаратына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тур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ұйымдастырды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барысында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КТН университет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қызметкерлерінің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жұмыс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орны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персоналды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басқару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бойынша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сұрақ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қойып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КТН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жұмысы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мысалында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практикалық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кеңестер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алуға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мүмкіндік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болды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Семинардың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соңғы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күні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PEOPLE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жобасының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университеттер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үйлестірушілерінің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мәжілісі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ө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тт</w:t>
      </w:r>
      <w:proofErr w:type="gramEnd"/>
      <w:r>
        <w:rPr>
          <w:rFonts w:ascii="Arial" w:hAnsi="Arial" w:cs="Arial"/>
          <w:color w:val="2C2B2A"/>
          <w:sz w:val="20"/>
          <w:szCs w:val="20"/>
        </w:rPr>
        <w:t>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мұнда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келешек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іс-әрекеттер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бағдарламасы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талқыланды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Еуропалық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комиссияға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керекті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баяндамалар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мен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есептер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қамтамасыз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етілді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400882" w:rsidRDefault="00400882" w:rsidP="00400882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Семинар - тренинг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соңында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атысушылар</w:t>
      </w:r>
      <w:proofErr w:type="gramEnd"/>
      <w:r>
        <w:rPr>
          <w:rFonts w:ascii="Arial" w:hAnsi="Arial" w:cs="Arial"/>
          <w:color w:val="2C2B2A"/>
          <w:sz w:val="20"/>
          <w:szCs w:val="20"/>
        </w:rPr>
        <w:t>ға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сертификаттар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берілді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2449E1" w:rsidRDefault="002449E1"/>
    <w:sectPr w:rsidR="0024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82"/>
    <w:rsid w:val="002449E1"/>
    <w:rsid w:val="0040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0882"/>
  </w:style>
  <w:style w:type="paragraph" w:styleId="a4">
    <w:name w:val="Balloon Text"/>
    <w:basedOn w:val="a"/>
    <w:link w:val="a5"/>
    <w:uiPriority w:val="99"/>
    <w:semiHidden/>
    <w:unhideWhenUsed/>
    <w:rsid w:val="0040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0882"/>
  </w:style>
  <w:style w:type="paragraph" w:styleId="a4">
    <w:name w:val="Balloon Text"/>
    <w:basedOn w:val="a"/>
    <w:link w:val="a5"/>
    <w:uiPriority w:val="99"/>
    <w:semiHidden/>
    <w:unhideWhenUsed/>
    <w:rsid w:val="0040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UserSS</dc:creator>
  <cp:lastModifiedBy>UserSS</cp:lastModifiedBy>
  <cp:revision>2</cp:revision>
  <dcterms:created xsi:type="dcterms:W3CDTF">2017-04-27T10:43:00Z</dcterms:created>
  <dcterms:modified xsi:type="dcterms:W3CDTF">2017-04-27T10:43:00Z</dcterms:modified>
</cp:coreProperties>
</file>